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98" w:rsidRDefault="0070240C">
      <w:r>
        <w:rPr>
          <w:noProof/>
        </w:rPr>
        <w:drawing>
          <wp:inline distT="0" distB="0" distL="0" distR="0">
            <wp:extent cx="5940425" cy="7432182"/>
            <wp:effectExtent l="19050" t="0" r="3175" b="0"/>
            <wp:docPr id="1" name="Рисунок 1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0C" w:rsidRDefault="007E201D" w:rsidP="0070240C">
      <w:pPr>
        <w:pStyle w:val="a5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19"/>
          <w:szCs w:val="19"/>
        </w:rPr>
      </w:pPr>
      <w:hyperlink r:id="rId5" w:history="1">
        <w:r w:rsidR="0070240C">
          <w:rPr>
            <w:rStyle w:val="a6"/>
            <w:rFonts w:ascii="Arial" w:hAnsi="Arial" w:cs="Arial"/>
            <w:color w:val="1D85B3"/>
            <w:sz w:val="27"/>
            <w:szCs w:val="27"/>
          </w:rPr>
          <w:t xml:space="preserve">Рекомендации Всемирной организации здравоохранения по защите от новой </w:t>
        </w:r>
        <w:proofErr w:type="spellStart"/>
        <w:r w:rsidR="0070240C">
          <w:rPr>
            <w:rStyle w:val="a6"/>
            <w:rFonts w:ascii="Arial" w:hAnsi="Arial" w:cs="Arial"/>
            <w:color w:val="1D85B3"/>
            <w:sz w:val="27"/>
            <w:szCs w:val="27"/>
          </w:rPr>
          <w:t>коронавирусной</w:t>
        </w:r>
        <w:proofErr w:type="spellEnd"/>
        <w:r w:rsidR="0070240C">
          <w:rPr>
            <w:rStyle w:val="a6"/>
            <w:rFonts w:ascii="Arial" w:hAnsi="Arial" w:cs="Arial"/>
            <w:color w:val="1D85B3"/>
            <w:sz w:val="27"/>
            <w:szCs w:val="27"/>
          </w:rPr>
          <w:t xml:space="preserve"> инфекции</w:t>
        </w:r>
      </w:hyperlink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 xml:space="preserve">В целях недопущения распространения случаев заболеваний, вызванных новым </w:t>
      </w:r>
      <w:proofErr w:type="spellStart"/>
      <w:r>
        <w:rPr>
          <w:rFonts w:ascii="Arial" w:hAnsi="Arial" w:cs="Arial"/>
          <w:color w:val="242424"/>
          <w:sz w:val="19"/>
          <w:szCs w:val="19"/>
        </w:rPr>
        <w:t>коронавирусом</w:t>
      </w:r>
      <w:proofErr w:type="spellEnd"/>
      <w:r>
        <w:rPr>
          <w:rFonts w:ascii="Arial" w:hAnsi="Arial" w:cs="Arial"/>
          <w:color w:val="242424"/>
          <w:sz w:val="19"/>
          <w:szCs w:val="19"/>
        </w:rPr>
        <w:t xml:space="preserve"> в Российской Федерации необходимо соблюдать меры предосторожности: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при планировании зарубежных поездок уточнять эпидемиологическую ситуацию;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не посещать за руб</w:t>
      </w:r>
      <w:r w:rsidR="007E201D">
        <w:rPr>
          <w:rFonts w:ascii="Arial" w:hAnsi="Arial" w:cs="Arial"/>
          <w:color w:val="242424"/>
          <w:sz w:val="19"/>
          <w:szCs w:val="19"/>
        </w:rPr>
        <w:t>е</w:t>
      </w:r>
      <w:r>
        <w:rPr>
          <w:rFonts w:ascii="Arial" w:hAnsi="Arial" w:cs="Arial"/>
          <w:color w:val="242424"/>
          <w:sz w:val="19"/>
          <w:szCs w:val="19"/>
        </w:rPr>
        <w:t>жом рынки, где продаются животные, морепродукты;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употреблять только термически обработанную пищу, бутилированную воду;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не посещать зоопарки, культурно-массовые мероприятия с привлечением животных;</w:t>
      </w:r>
      <w:bookmarkStart w:id="0" w:name="_GoBack"/>
      <w:bookmarkEnd w:id="0"/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lastRenderedPageBreak/>
        <w:t>- использовать средства защиты органов дыхания (маски);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мыть руки после посещения мест массового скопления людей и перед приемом пищи;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при первых признаках заболевания, обращаться за медицинской помощью в лечебные организации, не допускать самолечения;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proofErr w:type="spellStart"/>
      <w:r>
        <w:rPr>
          <w:rFonts w:ascii="Arial" w:hAnsi="Arial" w:cs="Arial"/>
          <w:color w:val="242424"/>
          <w:sz w:val="19"/>
          <w:szCs w:val="19"/>
        </w:rPr>
        <w:t>Роспотребнадзор</w:t>
      </w:r>
      <w:proofErr w:type="spellEnd"/>
      <w:r>
        <w:rPr>
          <w:rFonts w:ascii="Arial" w:hAnsi="Arial" w:cs="Arial"/>
          <w:color w:val="242424"/>
          <w:sz w:val="19"/>
          <w:szCs w:val="19"/>
        </w:rPr>
        <w:t xml:space="preserve"> рекомендует заранее планировать свои поездки при посещении КНР и воздержаться от поездок до стабилизации ситуации.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>
        <w:rPr>
          <w:rFonts w:ascii="Arial" w:hAnsi="Arial" w:cs="Arial"/>
          <w:color w:val="242424"/>
          <w:sz w:val="19"/>
          <w:szCs w:val="19"/>
        </w:rPr>
        <w:t>коронавируса</w:t>
      </w:r>
      <w:proofErr w:type="spellEnd"/>
      <w:r>
        <w:rPr>
          <w:rFonts w:ascii="Arial" w:hAnsi="Arial" w:cs="Arial"/>
          <w:color w:val="242424"/>
          <w:sz w:val="19"/>
          <w:szCs w:val="19"/>
        </w:rPr>
        <w:t xml:space="preserve"> на территории России.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 xml:space="preserve">Научными организациями Роспотребнадзора менее чем за 7 дней с момента появления информации о структуре генов нового </w:t>
      </w:r>
      <w:proofErr w:type="spellStart"/>
      <w:r>
        <w:rPr>
          <w:rFonts w:ascii="Arial" w:hAnsi="Arial" w:cs="Arial"/>
          <w:color w:val="242424"/>
          <w:sz w:val="19"/>
          <w:szCs w:val="19"/>
        </w:rPr>
        <w:t>коронавируса</w:t>
      </w:r>
      <w:proofErr w:type="spellEnd"/>
      <w:r>
        <w:rPr>
          <w:rFonts w:ascii="Arial" w:hAnsi="Arial" w:cs="Arial"/>
          <w:color w:val="242424"/>
          <w:sz w:val="19"/>
          <w:szCs w:val="19"/>
        </w:rPr>
        <w:t xml:space="preserve"> разработаны два варианта диагностических наборов для определения присутствия вируса в организме человека.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Первое это высокая чувствительность – с использованием разработанных тест-систем возможно обнаруживать единичные копии вирусов.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Второе - для диагностирования заболевания нет необходимости отбирать кровь, достаточно отобрать ватным тампоном образец из носоглотки.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Третье - результат анализа можно получить уже через 2-4 часа.</w:t>
      </w:r>
    </w:p>
    <w:p w:rsidR="0070240C" w:rsidRDefault="0070240C" w:rsidP="0070240C">
      <w:pPr>
        <w:pStyle w:val="a5"/>
        <w:shd w:val="clear" w:color="auto" w:fill="F8F8F8"/>
        <w:spacing w:before="0" w:beforeAutospacing="0" w:after="136" w:afterAutospacing="0"/>
        <w:jc w:val="both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Диагностические лаборатории Роспотребнадзора по всей России обладают необходимым оборудованием и специалистами для использования разработанных средств диагностики.</w:t>
      </w:r>
    </w:p>
    <w:p w:rsidR="0070240C" w:rsidRDefault="0070240C"/>
    <w:sectPr w:rsidR="0070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40C"/>
    <w:rsid w:val="002F0698"/>
    <w:rsid w:val="0070240C"/>
    <w:rsid w:val="007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333F"/>
  <w15:docId w15:val="{C69C927F-16F0-451D-A787-8DA44E8D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02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upload/recom%20WHO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2020-01-29T09:17:00Z</dcterms:created>
  <dcterms:modified xsi:type="dcterms:W3CDTF">2020-01-31T09:15:00Z</dcterms:modified>
</cp:coreProperties>
</file>